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深圳市儿童医院设备采购需求参数表</w:t>
      </w:r>
    </w:p>
    <w:tbl>
      <w:tblPr>
        <w:tblStyle w:val="8"/>
        <w:tblW w:w="96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344"/>
        <w:gridCol w:w="76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660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344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765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招标事项及要求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restart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344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医用</w:t>
            </w: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离心机</w:t>
            </w:r>
          </w:p>
        </w:tc>
        <w:tc>
          <w:tcPr>
            <w:tcW w:w="7650" w:type="dxa"/>
            <w:shd w:val="clear" w:color="000000" w:fill="FFFFFF"/>
            <w:vAlign w:val="center"/>
          </w:tcPr>
          <w:p>
            <w:pPr>
              <w:numPr>
                <w:ilvl w:val="0"/>
                <w:numId w:val="1"/>
              </w:numPr>
              <w:jc w:val="both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18"/>
                <w:rFonts w:hint="default" w:ascii="Times New Roman" w:hAnsi="Times New Roman" w:eastAsia="宋体" w:cs="Times New Roman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应用范围：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highlight w:val="none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应用于口腔CGF、A-PRF、PGRF、i-PRF等的离心制备过程，是口腔手术室、医院进行分离制备工作的常规设备。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4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0" w:type="dxa"/>
            <w:shd w:val="clear" w:color="000000" w:fill="FFFFFF"/>
            <w:vAlign w:val="center"/>
          </w:tcPr>
          <w:p>
            <w:pPr>
              <w:pStyle w:val="17"/>
              <w:numPr>
                <w:ilvl w:val="0"/>
                <w:numId w:val="1"/>
              </w:numPr>
              <w:spacing w:line="360" w:lineRule="auto"/>
              <w:ind w:left="0" w:leftChars="0" w:firstLine="0" w:firstLineChars="0"/>
              <w:jc w:val="both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2"/>
                <w:szCs w:val="22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减振器具有良好的减振效果，具有自动平衡功能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4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0" w:type="dxa"/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1"/>
              </w:numPr>
              <w:snapToGrid w:val="0"/>
              <w:spacing w:line="288" w:lineRule="auto"/>
              <w:ind w:left="0" w:leftChars="0" w:firstLine="0" w:firstLineChars="0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2"/>
                <w:szCs w:val="22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转速采用PWM控制的调速方式，转速控制精度高，具有快速升降功能，无刷直流变频电机使整机运行达到宁静工作，满足实验室的要求，无需更换碳刷，无碳粉污染。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4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0" w:type="dxa"/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1"/>
              </w:numPr>
              <w:snapToGrid w:val="0"/>
              <w:spacing w:line="288" w:lineRule="auto"/>
              <w:ind w:left="0" w:leftChars="0" w:firstLine="0" w:firstLineChars="0"/>
              <w:jc w:val="both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2"/>
                <w:szCs w:val="22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具有参数存储功能，并能自动计算RCF值。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4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0" w:type="dxa"/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1"/>
              </w:numPr>
              <w:snapToGrid w:val="0"/>
              <w:spacing w:line="288" w:lineRule="auto"/>
              <w:ind w:left="0" w:leftChars="0" w:firstLine="0" w:firstLineChars="0"/>
              <w:jc w:val="both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2"/>
                <w:szCs w:val="22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预设4个离心程序，用户可1键调用。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4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0" w:type="dxa"/>
            <w:shd w:val="clear" w:color="000000" w:fill="FFFFFF"/>
            <w:vAlign w:val="center"/>
          </w:tcPr>
          <w:p>
            <w:pPr>
              <w:pStyle w:val="17"/>
              <w:numPr>
                <w:ilvl w:val="0"/>
                <w:numId w:val="1"/>
              </w:numPr>
              <w:spacing w:line="240" w:lineRule="auto"/>
              <w:ind w:left="0" w:leftChars="0" w:firstLine="0" w:firstLineChars="0"/>
              <w:jc w:val="both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2"/>
                <w:szCs w:val="22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具有微机控制、直流无刷变频电机直接驱动、TFT真彩触控触摸面板，静音机电一体化电机门锁等先进技术。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4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0" w:type="dxa"/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1"/>
              </w:numPr>
              <w:snapToGrid w:val="0"/>
              <w:spacing w:line="288" w:lineRule="auto"/>
              <w:ind w:left="0" w:leftChars="0" w:firstLine="0" w:firstLineChars="0"/>
              <w:jc w:val="both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2"/>
                <w:szCs w:val="22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具有电机门锁安全保护功能。当门盖未盖好，离心机无法工作。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4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0" w:type="dxa"/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1"/>
              </w:numPr>
              <w:snapToGrid w:val="0"/>
              <w:spacing w:line="288" w:lineRule="auto"/>
              <w:ind w:left="0" w:leftChars="0" w:firstLine="0" w:firstLineChars="0"/>
              <w:jc w:val="both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2"/>
                <w:szCs w:val="22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钢制机身，表面喷塑处理，刚性好、强度高，耐腐蚀。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4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0" w:type="dxa"/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1"/>
              </w:numPr>
              <w:snapToGrid w:val="0"/>
              <w:spacing w:line="288" w:lineRule="auto"/>
              <w:ind w:left="0" w:leftChars="0" w:firstLine="0" w:firstLineChars="0"/>
              <w:jc w:val="both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2"/>
                <w:szCs w:val="22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造型简洁，体积小、噪音低、温升小、效率高、安全可靠。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4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0" w:type="dxa"/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1"/>
              </w:numPr>
              <w:snapToGrid w:val="0"/>
              <w:spacing w:line="288" w:lineRule="auto"/>
              <w:ind w:left="0" w:leftChars="0" w:firstLine="0" w:firstLineChars="0"/>
              <w:jc w:val="both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2"/>
                <w:szCs w:val="22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适用于样品量少、分离步骤多的TD4口腔材料实验分析工作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4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0" w:type="dxa"/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1"/>
              </w:numPr>
              <w:snapToGrid w:val="0"/>
              <w:spacing w:line="288" w:lineRule="auto"/>
              <w:ind w:left="0" w:leftChars="0" w:firstLine="0" w:firstLineChars="0"/>
              <w:jc w:val="both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2"/>
                <w:szCs w:val="22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可在环境温度为5—40℃，相对湿度不超过80％，周围无导电尘埃、爆炸性气体和腐蚀性气体的条件下安全使用。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4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0" w:type="dxa"/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1"/>
              </w:numPr>
              <w:snapToGrid w:val="0"/>
              <w:spacing w:line="288" w:lineRule="auto"/>
              <w:ind w:left="0" w:leftChars="0" w:firstLine="0" w:firstLineChars="0"/>
              <w:jc w:val="both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2"/>
                <w:szCs w:val="22"/>
                <w:highlight w:val="none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最高转速：3100（r/min）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4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0" w:type="dxa"/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1"/>
              </w:numPr>
              <w:snapToGrid w:val="0"/>
              <w:spacing w:line="288" w:lineRule="auto"/>
              <w:ind w:left="0" w:leftChars="0" w:firstLine="0" w:firstLineChars="0"/>
              <w:jc w:val="both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2"/>
                <w:szCs w:val="22"/>
                <w:highlight w:val="none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转速精度：±30r/min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4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0" w:type="dxa"/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1"/>
              </w:numPr>
              <w:snapToGrid w:val="0"/>
              <w:spacing w:line="288" w:lineRule="auto"/>
              <w:ind w:left="0" w:leftChars="0" w:firstLine="0" w:firstLineChars="0"/>
              <w:jc w:val="both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2"/>
                <w:szCs w:val="22"/>
                <w:highlight w:val="none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离心时间：2min-4min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4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0" w:type="dxa"/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1"/>
              </w:numPr>
              <w:snapToGrid w:val="0"/>
              <w:spacing w:line="288" w:lineRule="auto"/>
              <w:ind w:left="0" w:leftChars="0" w:firstLine="0" w:firstLineChars="0"/>
              <w:jc w:val="both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2"/>
                <w:szCs w:val="22"/>
                <w:highlight w:val="none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2"/>
                <w:szCs w:val="22"/>
                <w:highlight w:val="none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电 源：AC220V 50Hz，噪 音：≤60dB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/>
                <w:bCs/>
                <w:color w:val="000000" w:themeColor="text1"/>
                <w:kern w:val="0"/>
                <w:sz w:val="2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4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0" w:type="dxa"/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1"/>
              </w:numPr>
              <w:snapToGrid w:val="0"/>
              <w:spacing w:line="288" w:lineRule="auto"/>
              <w:ind w:left="0" w:leftChars="0" w:firstLine="0" w:firstLineChars="0"/>
              <w:jc w:val="both"/>
              <w:rPr>
                <w:rFonts w:hint="default" w:ascii="Times New Roman" w:hAnsi="Times New Roman" w:eastAsia="宋体" w:cs="Times New Roman"/>
                <w:bCs/>
                <w:color w:val="000000" w:themeColor="text1"/>
                <w:sz w:val="22"/>
                <w:szCs w:val="22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外形尺寸（长×宽×高）</w:t>
            </w:r>
            <w:r>
              <w:rPr>
                <w:rFonts w:hint="default" w:ascii="Times New Roman" w:hAnsi="Times New Roman" w:eastAsia="宋体" w:cs="Times New Roman"/>
                <w:bCs/>
                <w:color w:val="000000" w:themeColor="text1"/>
                <w:sz w:val="22"/>
                <w:szCs w:val="22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default" w:ascii="Times New Roman" w:hAnsi="Times New Roman" w:eastAsia="宋体" w:cs="Times New Roman"/>
                <w:bCs/>
                <w:color w:val="000000" w:themeColor="text1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380×260×310mm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000000" w:themeColor="text1"/>
                <w:sz w:val="22"/>
                <w:szCs w:val="22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容量：</w:t>
            </w:r>
            <w:r>
              <w:rPr>
                <w:rFonts w:hint="default" w:ascii="Times New Roman" w:hAnsi="Times New Roman" w:eastAsia="宋体" w:cs="Times New Roman"/>
                <w:bCs/>
                <w:color w:val="000000" w:themeColor="text1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8×20ml</w:t>
            </w:r>
            <w:r>
              <w:rPr>
                <w:rFonts w:hint="default" w:ascii="Times New Roman" w:hAnsi="Times New Roman" w:eastAsia="宋体" w:cs="Times New Roman"/>
                <w:bCs/>
                <w:color w:val="000000" w:themeColor="text1"/>
                <w:sz w:val="22"/>
                <w:szCs w:val="22"/>
                <w:highlight w:val="none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default" w:ascii="Times New Roman" w:hAnsi="Times New Roman" w:eastAsia="宋体" w:cs="Times New Roman"/>
                <w:bCs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重量（含转子）</w:t>
            </w:r>
            <w:r>
              <w:rPr>
                <w:rFonts w:hint="default" w:ascii="Times New Roman" w:hAnsi="Times New Roman" w:eastAsia="宋体" w:cs="Times New Roman"/>
                <w:bCs/>
                <w:color w:val="000000" w:themeColor="text1"/>
                <w:sz w:val="22"/>
                <w:szCs w:val="22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default" w:ascii="Times New Roman" w:hAnsi="Times New Roman" w:eastAsia="宋体" w:cs="Times New Roman"/>
                <w:bCs/>
                <w:color w:val="000000" w:themeColor="text1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17kg</w:t>
            </w:r>
          </w:p>
        </w:tc>
      </w:tr>
    </w:tbl>
    <w:p>
      <w:pPr>
        <w:pStyle w:val="3"/>
        <w:bidi w:val="0"/>
        <w:jc w:val="center"/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pStyle w:val="3"/>
        <w:bidi w:val="0"/>
        <w:jc w:val="center"/>
      </w:pPr>
      <w:r>
        <w:rPr>
          <w:rFonts w:hint="eastAsia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>开放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□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>专用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☑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□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8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 w:val="0"/>
                <w:sz w:val="22"/>
                <w:szCs w:val="22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b/>
                <w:bCs w:val="0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50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 w:val="0"/>
                <w:sz w:val="22"/>
                <w:szCs w:val="22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b/>
                <w:bCs w:val="0"/>
                <w:sz w:val="22"/>
                <w:szCs w:val="22"/>
                <w:highlight w:val="none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 w:val="0"/>
                <w:sz w:val="22"/>
                <w:szCs w:val="22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b/>
                <w:bCs w:val="0"/>
                <w:sz w:val="22"/>
                <w:szCs w:val="22"/>
                <w:highlight w:val="none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 w:val="0"/>
                <w:sz w:val="22"/>
                <w:szCs w:val="22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b/>
                <w:bCs w:val="0"/>
                <w:sz w:val="22"/>
                <w:szCs w:val="22"/>
                <w:highlight w:val="none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sz w:val="22"/>
                <w:szCs w:val="22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2"/>
                <w:szCs w:val="22"/>
                <w:highlight w:val="none"/>
              </w:rPr>
              <w:t>1</w:t>
            </w:r>
          </w:p>
        </w:tc>
        <w:tc>
          <w:tcPr>
            <w:tcW w:w="50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2"/>
                <w:szCs w:val="22"/>
                <w:highlight w:val="none"/>
                <w:lang w:val="en-US" w:eastAsia="zh-CN"/>
              </w:rPr>
              <w:t>专用试管</w:t>
            </w:r>
          </w:p>
        </w:tc>
        <w:tc>
          <w:tcPr>
            <w:tcW w:w="19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Cs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2"/>
                <w:szCs w:val="22"/>
                <w:highlight w:val="none"/>
                <w:lang w:eastAsia="zh-CN"/>
              </w:rPr>
              <w:t>支</w:t>
            </w:r>
          </w:p>
        </w:tc>
        <w:tc>
          <w:tcPr>
            <w:tcW w:w="21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2"/>
                <w:szCs w:val="22"/>
                <w:highlight w:val="none"/>
                <w:lang w:val="en-US" w:eastAsia="zh-CN"/>
              </w:rPr>
              <w:t>6</w:t>
            </w:r>
          </w:p>
        </w:tc>
      </w:tr>
    </w:tbl>
    <w:p>
      <w:pPr>
        <w:jc w:val="left"/>
        <w:rPr>
          <w:rFonts w:hint="eastAsia" w:ascii="宋体" w:hAnsi="宋体" w:cs="宋体"/>
          <w:b/>
          <w:bCs/>
          <w:kern w:val="0"/>
          <w:sz w:val="24"/>
          <w:szCs w:val="24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8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 w:val="0"/>
                <w:sz w:val="22"/>
                <w:szCs w:val="22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b/>
                <w:bCs w:val="0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50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 w:val="0"/>
                <w:sz w:val="22"/>
                <w:szCs w:val="22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b/>
                <w:bCs w:val="0"/>
                <w:sz w:val="22"/>
                <w:szCs w:val="22"/>
                <w:highlight w:val="none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 w:val="0"/>
                <w:sz w:val="22"/>
                <w:szCs w:val="22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b/>
                <w:bCs w:val="0"/>
                <w:sz w:val="22"/>
                <w:szCs w:val="22"/>
                <w:highlight w:val="none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 w:val="0"/>
                <w:sz w:val="22"/>
                <w:szCs w:val="22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b/>
                <w:bCs w:val="0"/>
                <w:sz w:val="22"/>
                <w:szCs w:val="22"/>
                <w:highlight w:val="none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sz w:val="22"/>
                <w:szCs w:val="22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2"/>
                <w:szCs w:val="22"/>
                <w:highlight w:val="none"/>
              </w:rPr>
              <w:t>1</w:t>
            </w:r>
          </w:p>
        </w:tc>
        <w:tc>
          <w:tcPr>
            <w:tcW w:w="5094" w:type="dxa"/>
            <w:vAlign w:val="center"/>
          </w:tcPr>
          <w:p>
            <w:pPr>
              <w:widowControl/>
              <w:jc w:val="center"/>
              <w:textAlignment w:val="baseline"/>
              <w:rPr>
                <w:rFonts w:hint="eastAsia" w:ascii="Times New Roman" w:hAnsi="Times New Roman" w:eastAsia="宋体" w:cs="Times New Roman"/>
                <w:bCs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pacing w:val="18"/>
                <w:kern w:val="2"/>
                <w:sz w:val="22"/>
                <w:szCs w:val="22"/>
                <w:lang w:val="en-US" w:eastAsia="zh-CN" w:bidi="ar-SA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widowControl/>
              <w:jc w:val="center"/>
              <w:textAlignment w:val="baseline"/>
              <w:rPr>
                <w:rFonts w:hint="eastAsia" w:ascii="Times New Roman" w:hAnsi="Times New Roman" w:eastAsia="宋体" w:cs="Times New Roman"/>
                <w:bCs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pacing w:val="18"/>
                <w:kern w:val="2"/>
                <w:sz w:val="22"/>
                <w:szCs w:val="22"/>
                <w:lang w:val="en-US" w:eastAsia="zh-CN" w:bidi="ar-SA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textAlignment w:val="baseline"/>
              <w:rPr>
                <w:rFonts w:hint="default" w:ascii="Times New Roman" w:hAnsi="Times New Roman" w:eastAsia="宋体" w:cs="Times New Roman"/>
                <w:bCs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pacing w:val="18"/>
                <w:kern w:val="2"/>
                <w:sz w:val="22"/>
                <w:szCs w:val="22"/>
                <w:lang w:val="en-US" w:eastAsia="zh-CN" w:bidi="ar-SA"/>
              </w:rPr>
              <w:t>/</w:t>
            </w:r>
          </w:p>
        </w:tc>
      </w:tr>
    </w:tbl>
    <w:p>
      <w:pPr>
        <w:rPr>
          <w:rFonts w:hint="eastAsia"/>
        </w:rPr>
      </w:pPr>
      <w:bookmarkStart w:id="0" w:name="_GoBack"/>
      <w:bookmarkEnd w:id="0"/>
    </w:p>
    <w:p>
      <w:pPr>
        <w:jc w:val="center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1DEB3C"/>
    <w:multiLevelType w:val="singleLevel"/>
    <w:tmpl w:val="9F1DEB3C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5736E54"/>
    <w:rsid w:val="134F1343"/>
    <w:rsid w:val="13EB16B8"/>
    <w:rsid w:val="20527BD7"/>
    <w:rsid w:val="2233630E"/>
    <w:rsid w:val="287F37BD"/>
    <w:rsid w:val="2EA96F98"/>
    <w:rsid w:val="3DC44EBA"/>
    <w:rsid w:val="4A7F66F1"/>
    <w:rsid w:val="4E426262"/>
    <w:rsid w:val="52B644D5"/>
    <w:rsid w:val="585B2E61"/>
    <w:rsid w:val="5AE0680D"/>
    <w:rsid w:val="5F095B6E"/>
    <w:rsid w:val="6D6528B6"/>
    <w:rsid w:val="70E64CC7"/>
    <w:rsid w:val="71F775AA"/>
    <w:rsid w:val="73EC173C"/>
    <w:rsid w:val="7E603535"/>
    <w:rsid w:val="7EF817D7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3"/>
    <w:unhideWhenUsed/>
    <w:qFormat/>
    <w:uiPriority w:val="99"/>
    <w:pPr>
      <w:jc w:val="left"/>
    </w:pPr>
  </w:style>
  <w:style w:type="paragraph" w:styleId="5">
    <w:name w:val="Balloon Text"/>
    <w:basedOn w:val="1"/>
    <w:link w:val="14"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7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unhideWhenUsed/>
    <w:qFormat/>
    <w:uiPriority w:val="99"/>
    <w:rPr>
      <w:sz w:val="21"/>
      <w:szCs w:val="21"/>
    </w:rPr>
  </w:style>
  <w:style w:type="character" w:customStyle="1" w:styleId="12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3">
    <w:name w:val="批注文字 字符"/>
    <w:link w:val="4"/>
    <w:autoRedefine/>
    <w:semiHidden/>
    <w:qFormat/>
    <w:uiPriority w:val="99"/>
    <w:rPr>
      <w:kern w:val="2"/>
      <w:sz w:val="21"/>
      <w:szCs w:val="22"/>
    </w:rPr>
  </w:style>
  <w:style w:type="character" w:customStyle="1" w:styleId="14">
    <w:name w:val="批注框文本 字符"/>
    <w:link w:val="5"/>
    <w:autoRedefine/>
    <w:semiHidden/>
    <w:qFormat/>
    <w:uiPriority w:val="99"/>
    <w:rPr>
      <w:kern w:val="2"/>
      <w:sz w:val="18"/>
      <w:szCs w:val="18"/>
    </w:rPr>
  </w:style>
  <w:style w:type="character" w:customStyle="1" w:styleId="15">
    <w:name w:val="页脚 字符"/>
    <w:link w:val="6"/>
    <w:qFormat/>
    <w:uiPriority w:val="99"/>
    <w:rPr>
      <w:sz w:val="18"/>
      <w:szCs w:val="18"/>
    </w:rPr>
  </w:style>
  <w:style w:type="character" w:customStyle="1" w:styleId="16">
    <w:name w:val="页眉 字符"/>
    <w:link w:val="7"/>
    <w:qFormat/>
    <w:uiPriority w:val="99"/>
    <w:rPr>
      <w:sz w:val="18"/>
      <w:szCs w:val="18"/>
    </w:rPr>
  </w:style>
  <w:style w:type="paragraph" w:customStyle="1" w:styleId="17">
    <w:name w:val="正文 A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jc w:val="both"/>
    </w:pPr>
    <w:rPr>
      <w:rFonts w:ascii="Calibri" w:hAnsi="Calibri" w:eastAsia="Calibri" w:cs="Calibri"/>
      <w:color w:val="000000"/>
      <w:kern w:val="2"/>
      <w:sz w:val="21"/>
      <w:szCs w:val="21"/>
      <w:lang w:val="en-US" w:eastAsia="zh-CN" w:bidi="ar-SA"/>
    </w:rPr>
  </w:style>
  <w:style w:type="character" w:customStyle="1" w:styleId="18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6</Pages>
  <Words>218</Words>
  <Characters>1249</Characters>
  <Lines>10</Lines>
  <Paragraphs>2</Paragraphs>
  <TotalTime>0</TotalTime>
  <ScaleCrop>false</ScaleCrop>
  <LinksUpToDate>false</LinksUpToDate>
  <CharactersWithSpaces>1465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2023-11-02T03:07:00Z</dcterms:created>
  <dc:creator>Sky123.Org</dc:creator>
  <cp:lastModifiedBy> </cp:lastModifiedBy>
  <cp:lastPrinted>2020-06-15T03:32:00Z</cp:lastPrinted>
  <dcterms:modified xsi:type="dcterms:W3CDTF">2024-04-18T08:59:22Z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59037B3E73E349B78594065565ACE04C_13</vt:lpwstr>
  </property>
</Properties>
</file>